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44FC5" w14:textId="39A1DEDB" w:rsidR="001A1E48" w:rsidRDefault="001A1E48" w:rsidP="001A1E48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60288" behindDoc="0" locked="0" layoutInCell="1" allowOverlap="1" wp14:anchorId="2F43B969" wp14:editId="542CB720">
            <wp:simplePos x="0" y="0"/>
            <wp:positionH relativeFrom="column">
              <wp:posOffset>33655</wp:posOffset>
            </wp:positionH>
            <wp:positionV relativeFrom="paragraph">
              <wp:posOffset>136525</wp:posOffset>
            </wp:positionV>
            <wp:extent cx="861060" cy="777240"/>
            <wp:effectExtent l="0" t="0" r="0" b="3810"/>
            <wp:wrapNone/>
            <wp:docPr id="4" name="Immagine 4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5328C" w14:textId="77777777" w:rsidR="001A1E48" w:rsidRPr="0061617C" w:rsidRDefault="001A1E48" w:rsidP="001A1E48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59264" behindDoc="0" locked="0" layoutInCell="1" allowOverlap="1" wp14:anchorId="527A397D" wp14:editId="35FC5BB5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582295" cy="617220"/>
            <wp:effectExtent l="0" t="0" r="8255" b="0"/>
            <wp:wrapNone/>
            <wp:docPr id="3" name="Immagine 3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290">
        <w:rPr>
          <w:rFonts w:cs="Calibri"/>
          <w:noProof/>
          <w:sz w:val="24"/>
          <w:szCs w:val="24"/>
        </w:rPr>
        <w:drawing>
          <wp:inline distT="0" distB="0" distL="0" distR="0" wp14:anchorId="2D570CCA" wp14:editId="7F9279A5">
            <wp:extent cx="1295400" cy="628650"/>
            <wp:effectExtent l="0" t="0" r="0" b="0"/>
            <wp:docPr id="2" name="Immagine 2" descr="block_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lock_no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290">
        <w:rPr>
          <w:rFonts w:ascii="Book Antiqua" w:hAnsi="Book Antiqua"/>
          <w:i/>
          <w:noProof/>
          <w:spacing w:val="-20"/>
          <w:sz w:val="16"/>
          <w:szCs w:val="16"/>
        </w:rPr>
        <w:drawing>
          <wp:inline distT="0" distB="0" distL="0" distR="0" wp14:anchorId="3151AE19" wp14:editId="2590B200">
            <wp:extent cx="3314700" cy="628650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119F9" w14:textId="77777777" w:rsidR="001A1E48" w:rsidRPr="0041237B" w:rsidRDefault="001A1E48" w:rsidP="001A1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 xml:space="preserve">ISTITUTO DI ISTRUZIONE </w:t>
      </w:r>
      <w:proofErr w:type="gramStart"/>
      <w:r w:rsidRPr="0041237B">
        <w:rPr>
          <w:rFonts w:ascii="Times New Roman" w:hAnsi="Times New Roman"/>
          <w:b/>
          <w:sz w:val="28"/>
          <w:szCs w:val="28"/>
        </w:rPr>
        <w:t>SECONDARIA  SUPERIORE</w:t>
      </w:r>
      <w:proofErr w:type="gramEnd"/>
      <w:r w:rsidRPr="0041237B">
        <w:rPr>
          <w:rFonts w:ascii="Times New Roman" w:hAnsi="Times New Roman"/>
          <w:b/>
          <w:sz w:val="28"/>
          <w:szCs w:val="28"/>
        </w:rPr>
        <w:t xml:space="preserve"> STATALE</w:t>
      </w:r>
    </w:p>
    <w:p w14:paraId="382E3BA0" w14:textId="77777777" w:rsidR="001A1E48" w:rsidRPr="0041237B" w:rsidRDefault="001A1E48" w:rsidP="001A1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14:paraId="60B23E9E" w14:textId="77777777" w:rsidR="001A1E48" w:rsidRPr="004D0C0A" w:rsidRDefault="001A1E48" w:rsidP="001A1E4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14:paraId="311916E8" w14:textId="77777777" w:rsidR="001A1E48" w:rsidRPr="004D0C0A" w:rsidRDefault="001A1E48" w:rsidP="001A1E4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14:paraId="2A907E27" w14:textId="77777777" w:rsidR="001A1E48" w:rsidRPr="004D0C0A" w:rsidRDefault="001A1E48" w:rsidP="001A1E4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14:paraId="044456AB" w14:textId="77777777" w:rsidR="001A1E48" w:rsidRDefault="001A1E48" w:rsidP="001A1E4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 xml:space="preserve">Liceo Artistico </w:t>
      </w:r>
      <w:proofErr w:type="gramStart"/>
      <w:r w:rsidRPr="004D0C0A">
        <w:rPr>
          <w:rFonts w:ascii="Times New Roman" w:hAnsi="Times New Roman"/>
          <w:sz w:val="16"/>
          <w:szCs w:val="16"/>
        </w:rPr>
        <w:t>-  Indirizzi</w:t>
      </w:r>
      <w:proofErr w:type="gramEnd"/>
      <w:r w:rsidRPr="004D0C0A">
        <w:rPr>
          <w:rFonts w:ascii="Times New Roman" w:hAnsi="Times New Roman"/>
          <w:sz w:val="16"/>
          <w:szCs w:val="16"/>
        </w:rPr>
        <w:t>: Arti Figur</w:t>
      </w:r>
      <w:r>
        <w:rPr>
          <w:rFonts w:ascii="Times New Roman" w:hAnsi="Times New Roman"/>
          <w:sz w:val="16"/>
          <w:szCs w:val="16"/>
        </w:rPr>
        <w:t>ative – Architettura -  Ambiente</w:t>
      </w:r>
    </w:p>
    <w:p w14:paraId="35C8DF2C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762670D9" w14:textId="77777777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3BC43B2E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721F2169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2F51A0D9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5BCC55C5" w14:textId="77777777" w:rsidTr="00C91B1F">
        <w:trPr>
          <w:trHeight w:val="86"/>
        </w:trPr>
        <w:tc>
          <w:tcPr>
            <w:tcW w:w="1809" w:type="dxa"/>
          </w:tcPr>
          <w:p w14:paraId="6994674B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7D4B8681" w14:textId="77777777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D.M. n. 850/2015, art. 5, commi 2 e 3;</w:t>
            </w:r>
          </w:p>
          <w:p w14:paraId="5573F00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D047601" w14:textId="77777777" w:rsidTr="00AA0B98">
        <w:tc>
          <w:tcPr>
            <w:tcW w:w="1809" w:type="dxa"/>
          </w:tcPr>
          <w:p w14:paraId="490351DD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1F686953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9D470F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3BBBCE0" w14:textId="77777777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449C095" w14:textId="77777777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</w:t>
            </w:r>
            <w:r w:rsidR="00381706" w:rsidRPr="00C91B1F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7969" w:type="dxa"/>
          </w:tcPr>
          <w:p w14:paraId="6C6DDA7C" w14:textId="77777777" w:rsidR="002141DF" w:rsidRPr="00C91B1F" w:rsidRDefault="00AA0B98" w:rsidP="00C91B1F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381706" w:rsidRPr="00C91B1F">
              <w:rPr>
                <w:bCs/>
                <w:sz w:val="22"/>
                <w:szCs w:val="22"/>
                <w:shd w:val="clear" w:color="auto" w:fill="FFFFFF"/>
              </w:rPr>
              <w:t>28730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C91B1F" w:rsidRPr="00C91B1F">
              <w:rPr>
                <w:bCs/>
                <w:sz w:val="22"/>
                <w:szCs w:val="22"/>
                <w:shd w:val="clear" w:color="auto" w:fill="FFFFFF"/>
              </w:rPr>
              <w:t>21 settembre 202</w:t>
            </w:r>
            <w:r w:rsidR="00381706" w:rsidRPr="00C91B1F">
              <w:rPr>
                <w:bCs/>
                <w:sz w:val="22"/>
                <w:szCs w:val="22"/>
                <w:shd w:val="clear" w:color="auto" w:fill="FFFFFF"/>
              </w:rPr>
              <w:t>0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proofErr w:type="gramStart"/>
            <w:r w:rsidR="002141DF" w:rsidRPr="00C91B1F">
              <w:rPr>
                <w:i/>
                <w:sz w:val="22"/>
                <w:szCs w:val="22"/>
              </w:rPr>
              <w:t>neo-assunti</w:t>
            </w:r>
            <w:proofErr w:type="gramEnd"/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2020-2021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</w:p>
          <w:p w14:paraId="4D63B664" w14:textId="77777777" w:rsidR="002141DF" w:rsidRPr="00C91B1F" w:rsidRDefault="002141DF" w:rsidP="00214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14:paraId="0558F12D" w14:textId="77777777" w:rsidR="00AA0B98" w:rsidRPr="00C91B1F" w:rsidRDefault="00381706" w:rsidP="00381706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la nota dell’Ufficio III dell’USR Campania prot. 29227 del 30.09.2020, concernente gli elementi strutturali del percorso di formazione e prova </w:t>
            </w:r>
            <w:r w:rsidR="00586FB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dei docenti neoassunti </w:t>
            </w:r>
            <w:proofErr w:type="spellStart"/>
            <w:r w:rsidR="00586FB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2020/2021</w:t>
            </w:r>
            <w:r w:rsidR="00586FB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4028EC77" w14:textId="77777777" w:rsidR="00381706" w:rsidRPr="00C91B1F" w:rsidRDefault="00381706" w:rsidP="0038170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381706" w:rsidRPr="00C91B1F" w14:paraId="5AFECA44" w14:textId="77777777" w:rsidTr="00AA0B98">
        <w:tc>
          <w:tcPr>
            <w:tcW w:w="1809" w:type="dxa"/>
          </w:tcPr>
          <w:p w14:paraId="2F301055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61EF4C0B" w14:textId="77777777" w:rsidR="00381706" w:rsidRPr="00C91B1F" w:rsidRDefault="00381706" w:rsidP="00381706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dell’Ufficio III dell’USR Campania prot. 37099 dell’11.11.2020, con cui sono state fornite le istruzioni per l’iscrizione </w:t>
            </w:r>
            <w:r w:rsidR="00C91B1F">
              <w:rPr>
                <w:sz w:val="22"/>
                <w:szCs w:val="22"/>
              </w:rPr>
              <w:t>dei docenti neoassunti ai laboratori formativi</w:t>
            </w:r>
            <w:r w:rsidRPr="00C91B1F">
              <w:rPr>
                <w:sz w:val="22"/>
                <w:szCs w:val="22"/>
              </w:rPr>
              <w:t>;</w:t>
            </w:r>
          </w:p>
          <w:p w14:paraId="3445208E" w14:textId="77777777" w:rsidR="00381706" w:rsidRPr="00C91B1F" w:rsidRDefault="00381706" w:rsidP="0038170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1469391A" w14:textId="77777777" w:rsidTr="00AA0B98">
        <w:tc>
          <w:tcPr>
            <w:tcW w:w="1809" w:type="dxa"/>
          </w:tcPr>
          <w:p w14:paraId="7BA27501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226FB38E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24822BB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10939107" w14:textId="77777777" w:rsidTr="00AA0B98">
        <w:tc>
          <w:tcPr>
            <w:tcW w:w="1809" w:type="dxa"/>
          </w:tcPr>
          <w:p w14:paraId="23C053C4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245A5E52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9E13AA5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4314EA3A" w14:textId="77777777" w:rsidTr="00AA0B98">
        <w:tc>
          <w:tcPr>
            <w:tcW w:w="1809" w:type="dxa"/>
          </w:tcPr>
          <w:p w14:paraId="082F7F28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212DCB32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proofErr w:type="spellStart"/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proofErr w:type="spellEnd"/>
            <w:r w:rsidRPr="002141DF">
              <w:rPr>
                <w:rFonts w:ascii="Times New Roman" w:hAnsi="Times New Roman" w:cs="Times New Roman"/>
                <w:color w:val="000000"/>
              </w:rPr>
              <w:t>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4D8F056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</w:t>
            </w:r>
            <w:proofErr w:type="gramStart"/>
            <w:r w:rsidRPr="002141DF"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18915C4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46A8DBD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56CC36E5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7362C19C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</w:t>
      </w:r>
      <w:proofErr w:type="gramStart"/>
      <w:r>
        <w:rPr>
          <w:rFonts w:ascii="Times New Roman" w:eastAsia="Century" w:hAnsi="Times New Roman" w:cs="Times New Roman"/>
        </w:rPr>
        <w:t>in seguito</w:t>
      </w:r>
      <w:proofErr w:type="gramEnd"/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2EAA7662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5C8C590E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0F41448E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55EFC697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135B438" w14:textId="77777777" w:rsidR="001A1E48" w:rsidRDefault="001A1E48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</w:p>
    <w:p w14:paraId="6AA261E0" w14:textId="11EF37A0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lastRenderedPageBreak/>
        <w:t>SI PATTUISCE QUANTO SEGUE</w:t>
      </w:r>
    </w:p>
    <w:p w14:paraId="7291B21A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5A6A8694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3B9D4C6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4B24972E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55C8A517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0D7233FB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7140E8BE" w14:textId="77777777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2020/2021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622DA294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0BC2F4C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24B87083" w14:textId="77777777" w:rsidTr="00D5107E">
        <w:trPr>
          <w:jc w:val="center"/>
        </w:trPr>
        <w:tc>
          <w:tcPr>
            <w:tcW w:w="6105" w:type="dxa"/>
          </w:tcPr>
          <w:p w14:paraId="5135A7D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2760296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544DEF89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CEB39B4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77118D8C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7027EC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21C4F83E" w14:textId="77777777" w:rsidTr="00D5107E">
        <w:trPr>
          <w:jc w:val="center"/>
        </w:trPr>
        <w:tc>
          <w:tcPr>
            <w:tcW w:w="6105" w:type="dxa"/>
          </w:tcPr>
          <w:p w14:paraId="52C11B18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53948D3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1ABB01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28EB88D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84A9F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55CA7936" w14:textId="77777777" w:rsidTr="00D5107E">
        <w:trPr>
          <w:jc w:val="center"/>
        </w:trPr>
        <w:tc>
          <w:tcPr>
            <w:tcW w:w="6105" w:type="dxa"/>
          </w:tcPr>
          <w:p w14:paraId="1C741B52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D48E67E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0BF311C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21CBE800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268FFFE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58E15C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7B99D238" w14:textId="77777777" w:rsidTr="00D5107E">
        <w:trPr>
          <w:jc w:val="center"/>
        </w:trPr>
        <w:tc>
          <w:tcPr>
            <w:tcW w:w="6105" w:type="dxa"/>
          </w:tcPr>
          <w:p w14:paraId="5398F0F2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D60561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63D2C86E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28600046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05F74EE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0A6DD10D" w14:textId="77777777" w:rsidTr="00D5107E">
        <w:trPr>
          <w:jc w:val="center"/>
        </w:trPr>
        <w:tc>
          <w:tcPr>
            <w:tcW w:w="6105" w:type="dxa"/>
          </w:tcPr>
          <w:p w14:paraId="5722AF4B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68ABC15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23F793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1EDD904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F3DCE3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6CBCB7C3" w14:textId="77777777" w:rsidTr="00D5107E">
        <w:trPr>
          <w:trHeight w:val="70"/>
          <w:jc w:val="center"/>
        </w:trPr>
        <w:tc>
          <w:tcPr>
            <w:tcW w:w="6105" w:type="dxa"/>
          </w:tcPr>
          <w:p w14:paraId="31F9985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F57344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F7D515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65A7919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68890CCB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E2A2E3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778F996E" w14:textId="77777777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b) Per </w:t>
      </w:r>
      <w:r w:rsidR="00120F4E">
        <w:rPr>
          <w:rFonts w:ascii="Times New Roman" w:hAnsi="Times New Roman" w:cs="Times New Roman"/>
        </w:rPr>
        <w:t>il corrente anno scolastico 2020/2021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5AFE0F4A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6B2C974C" w14:textId="77777777" w:rsidTr="00D5107E">
        <w:trPr>
          <w:jc w:val="center"/>
        </w:trPr>
        <w:tc>
          <w:tcPr>
            <w:tcW w:w="6105" w:type="dxa"/>
          </w:tcPr>
          <w:p w14:paraId="5F9D6D50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5777153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4243602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2DCBD02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EFDD6F6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3C404DD4" w14:textId="77777777" w:rsidTr="00D5107E">
        <w:trPr>
          <w:jc w:val="center"/>
        </w:trPr>
        <w:tc>
          <w:tcPr>
            <w:tcW w:w="6105" w:type="dxa"/>
          </w:tcPr>
          <w:p w14:paraId="28B5293C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FBA88E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797E2D8B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78A62527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18EC4C85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5E1719A" w14:textId="77777777" w:rsidTr="00D5107E">
        <w:trPr>
          <w:jc w:val="center"/>
        </w:trPr>
        <w:tc>
          <w:tcPr>
            <w:tcW w:w="6105" w:type="dxa"/>
          </w:tcPr>
          <w:p w14:paraId="09F68ABF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23574DD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7D113F4" w14:textId="77777777" w:rsidR="008B16AE" w:rsidRP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5AF77764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62AC2BEA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21DA221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lastRenderedPageBreak/>
              <w:t>PARTECIPAZIONE ALLA VITA DELLA SCUOLA</w:t>
            </w:r>
          </w:p>
        </w:tc>
      </w:tr>
      <w:tr w:rsidR="00FB1E19" w:rsidRPr="002141DF" w14:paraId="1383787F" w14:textId="77777777" w:rsidTr="00D5107E">
        <w:trPr>
          <w:jc w:val="center"/>
        </w:trPr>
        <w:tc>
          <w:tcPr>
            <w:tcW w:w="6105" w:type="dxa"/>
          </w:tcPr>
          <w:p w14:paraId="74D001D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6AE30D89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238B33C9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E4E78F7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1F643863" w14:textId="77777777" w:rsidTr="00D5107E">
        <w:trPr>
          <w:jc w:val="center"/>
        </w:trPr>
        <w:tc>
          <w:tcPr>
            <w:tcW w:w="6105" w:type="dxa"/>
          </w:tcPr>
          <w:p w14:paraId="35B24EAB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480C83F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2B8ECF5C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0B5D849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7B37368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336988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1946491B" w14:textId="77777777" w:rsidTr="00D5107E">
        <w:trPr>
          <w:trHeight w:val="70"/>
          <w:jc w:val="center"/>
        </w:trPr>
        <w:tc>
          <w:tcPr>
            <w:tcW w:w="6105" w:type="dxa"/>
          </w:tcPr>
          <w:p w14:paraId="62D3E75C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65F9381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BAAA8F5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6D20AAD3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6F4C61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20D1E83A" w14:textId="77777777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di cui all’articolo 6 del D.M. 850/2015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2FC6BB62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760F6EEC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491F4926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5046028E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28DCF3EE" w14:textId="77777777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2 del Decreto Ministeriale n. 850/2015).</w:t>
      </w:r>
    </w:p>
    <w:p w14:paraId="3F86ABFB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8090B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5B3C1F08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2C7F6759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2EAC9B53" w14:textId="77777777" w:rsidR="00D47D57" w:rsidRPr="002141DF" w:rsidRDefault="00AA489A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competenze, anche eventualmente</w:t>
      </w:r>
      <w:r w:rsidR="00E7456A" w:rsidRPr="002141DF">
        <w:rPr>
          <w:rFonts w:ascii="Times New Roman" w:eastAsia="Century" w:hAnsi="Times New Roman" w:cs="Times New Roman"/>
        </w:rPr>
        <w:t xml:space="preserve"> </w:t>
      </w:r>
      <w:r w:rsidR="00D47D57" w:rsidRPr="002141DF">
        <w:rPr>
          <w:rFonts w:ascii="Times New Roman" w:eastAsia="Century" w:hAnsi="Times New Roman" w:cs="Times New Roman"/>
        </w:rPr>
        <w:t>utilizzando</w:t>
      </w:r>
      <w:r w:rsidR="00010C00" w:rsidRPr="002141DF">
        <w:rPr>
          <w:rFonts w:ascii="Times New Roman" w:eastAsia="Century" w:hAnsi="Times New Roman" w:cs="Times New Roman"/>
        </w:rPr>
        <w:t xml:space="preserve"> delle risorse </w:t>
      </w:r>
      <w:r w:rsidR="00D47D57" w:rsidRPr="002141DF">
        <w:rPr>
          <w:rFonts w:ascii="Times New Roman" w:eastAsia="Century" w:hAnsi="Times New Roman" w:cs="Times New Roman"/>
        </w:rPr>
        <w:t>ricevute con il b</w:t>
      </w:r>
      <w:r w:rsidR="00120F4E">
        <w:rPr>
          <w:rFonts w:ascii="Times New Roman" w:eastAsia="Century" w:hAnsi="Times New Roman" w:cs="Times New Roman"/>
        </w:rPr>
        <w:t xml:space="preserve">onus per la formazione </w:t>
      </w:r>
      <w:proofErr w:type="spellStart"/>
      <w:r w:rsidR="00120F4E">
        <w:rPr>
          <w:rFonts w:ascii="Times New Roman" w:eastAsia="Century" w:hAnsi="Times New Roman" w:cs="Times New Roman"/>
        </w:rPr>
        <w:t>a.s.</w:t>
      </w:r>
      <w:proofErr w:type="spellEnd"/>
      <w:r w:rsidR="00120F4E">
        <w:rPr>
          <w:rFonts w:ascii="Times New Roman" w:eastAsia="Century" w:hAnsi="Times New Roman" w:cs="Times New Roman"/>
        </w:rPr>
        <w:t xml:space="preserve"> 2020/2021</w:t>
      </w:r>
      <w:r w:rsidR="00D47D57" w:rsidRPr="002141DF">
        <w:rPr>
          <w:rFonts w:ascii="Times New Roman" w:eastAsia="Century" w:hAnsi="Times New Roman" w:cs="Times New Roman"/>
        </w:rPr>
        <w:t>.</w:t>
      </w:r>
    </w:p>
    <w:p w14:paraId="2ECF7866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684AB233" w14:textId="77777777" w:rsidR="001E6D3C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 xml:space="preserve"> </w:t>
      </w:r>
      <w:r w:rsidR="00AA489A" w:rsidRPr="002141DF">
        <w:rPr>
          <w:rFonts w:ascii="Times New Roman" w:eastAsia="Century" w:hAnsi="Times New Roman" w:cs="Times New Roman"/>
        </w:rPr>
        <w:t>Selezionare le aree di interesse che si intendon</w:t>
      </w:r>
      <w:r w:rsidR="00120F4E">
        <w:rPr>
          <w:rFonts w:ascii="Times New Roman" w:eastAsia="Century" w:hAnsi="Times New Roman" w:cs="Times New Roman"/>
        </w:rPr>
        <w:t>o approfondire, in coerenza con</w:t>
      </w:r>
      <w:r w:rsidR="001E6D3C">
        <w:rPr>
          <w:rFonts w:ascii="Times New Roman" w:eastAsia="Century" w:hAnsi="Times New Roman" w:cs="Times New Roman"/>
        </w:rPr>
        <w:t xml:space="preserve"> le priorità per la formazione docenti di cui alla nota ministeriale prot. 49062 del 28.11.2019 </w:t>
      </w:r>
      <w:r w:rsidR="00B51D27">
        <w:rPr>
          <w:rFonts w:ascii="Times New Roman" w:eastAsia="Century" w:hAnsi="Times New Roman" w:cs="Times New Roman"/>
        </w:rPr>
        <w:t>(avvio PNFD triennalità 2019/2022) e le tematiche di cui alla citata nota ministeriale prot. n. 28730 del 21.09.2020:</w:t>
      </w:r>
    </w:p>
    <w:p w14:paraId="14A343DE" w14:textId="77777777" w:rsidR="00C91B1F" w:rsidRDefault="00C91B1F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66F605B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a) </w:t>
      </w:r>
      <w:r w:rsidR="00C91B1F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e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ducazione civica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con particolare riguardo alla conoscenza della Costituzione e alla cultura della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sostenibilità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(Legge 92/2019);</w:t>
      </w:r>
    </w:p>
    <w:p w14:paraId="09D0728E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b) discipline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scientifico-tecnologiche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(STEM);</w:t>
      </w:r>
    </w:p>
    <w:p w14:paraId="1CC76FDB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c) nuova organizzazione didattica dell’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istruzione professionale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(D.I. 92/2018);</w:t>
      </w:r>
    </w:p>
    <w:p w14:paraId="2A1AD5DD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d) modalità e procedure della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valutazione formativa e sistema degli Esami di Stato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(D.lgs. 62/2017);</w:t>
      </w:r>
    </w:p>
    <w:p w14:paraId="628B46B1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e) realizzazione del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sistema educativo integrato dalla nascita fino ai 6 anni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(D.lgs. 65/2017);</w:t>
      </w:r>
    </w:p>
    <w:p w14:paraId="1423D21D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f)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linee guida per i percorsi per le competenze trasversali e di orientamento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(D.M.774/2019)</w:t>
      </w:r>
    </w:p>
    <w:p w14:paraId="3D4065E5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g) contrasto alla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dispersione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e all’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insuccesso formativo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;</w:t>
      </w:r>
    </w:p>
    <w:p w14:paraId="6A91E758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h) obblighi in materia di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sicurezza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e adempimenti della Pubblica Amministrazione (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privacy, trasparenza,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ecc.);</w:t>
      </w:r>
    </w:p>
    <w:p w14:paraId="7A64FD0C" w14:textId="77777777" w:rsidR="001E6D3C" w:rsidRPr="00120F4E" w:rsidRDefault="000F2D4E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i) </w:t>
      </w:r>
      <w:r w:rsidR="00C91B1F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inclusione degli alunni con BES</w:t>
      </w:r>
      <w:r w:rsidR="001E6D3C"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, DSA e disabilità </w:t>
      </w:r>
      <w:r w:rsidR="001E6D3C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(</w:t>
      </w:r>
      <w:proofErr w:type="spellStart"/>
      <w:r w:rsidR="001E6D3C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D.Lgs.</w:t>
      </w:r>
      <w:proofErr w:type="spellEnd"/>
      <w:r w:rsidR="001E6D3C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66/2017 e 96/2019);</w:t>
      </w:r>
    </w:p>
    <w:p w14:paraId="0F4CACA6" w14:textId="77777777" w:rsidR="00120F4E" w:rsidRPr="00120F4E" w:rsidRDefault="000F2D4E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j) </w:t>
      </w:r>
      <w:r w:rsidR="001E6D3C"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Piano Nazionale Scuola Digitale</w:t>
      </w:r>
      <w:r w:rsidR="001E6D3C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, con particolare riferim</w:t>
      </w:r>
      <w:r w:rsidR="00120F4E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ento alla cittadinanza digitale;</w:t>
      </w:r>
    </w:p>
    <w:p w14:paraId="0B881661" w14:textId="77777777" w:rsidR="00120F4E" w:rsidRPr="00B51D27" w:rsidRDefault="00C91B1F" w:rsidP="00B51D2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>
        <w:rPr>
          <w:rFonts w:ascii="Times New Roman" w:eastAsia="Calibri" w:hAnsi="Times New Roman" w:cs="Times New Roman"/>
          <w:color w:val="0000CC"/>
          <w:sz w:val="20"/>
          <w:szCs w:val="20"/>
        </w:rPr>
        <w:t>k</w:t>
      </w:r>
      <w:r w:rsidR="00120F4E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) 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>iniziative e provvedimenti legati alla gestione delle istituzioni scolastiche in fase di</w:t>
      </w:r>
      <w:r w:rsidR="00B51D27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>emergenza;</w:t>
      </w:r>
    </w:p>
    <w:p w14:paraId="7ECF31F2" w14:textId="77777777" w:rsidR="00120F4E" w:rsidRPr="00B51D27" w:rsidRDefault="00C91B1F" w:rsidP="00120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0"/>
          <w:szCs w:val="20"/>
        </w:rPr>
      </w:pPr>
      <w:r>
        <w:rPr>
          <w:rFonts w:ascii="Times New Roman" w:hAnsi="Times New Roman" w:cs="Times New Roman"/>
          <w:color w:val="0000CC"/>
          <w:sz w:val="20"/>
          <w:szCs w:val="20"/>
        </w:rPr>
        <w:lastRenderedPageBreak/>
        <w:t>l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 xml:space="preserve">)  competenze relative alle metodologie e alle tecnologie della </w:t>
      </w:r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>didattica digitale e della</w:t>
      </w:r>
      <w:r w:rsidR="00B51D27" w:rsidRPr="00B51D27">
        <w:rPr>
          <w:rFonts w:ascii="Times New Roman" w:hAnsi="Times New Roman" w:cs="Times New Roman"/>
          <w:b/>
          <w:color w:val="0000CC"/>
          <w:sz w:val="20"/>
          <w:szCs w:val="20"/>
        </w:rPr>
        <w:t xml:space="preserve"> </w:t>
      </w:r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>programmazione informatica (coding)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>;</w:t>
      </w:r>
    </w:p>
    <w:p w14:paraId="6DBBFF48" w14:textId="77777777" w:rsidR="00120F4E" w:rsidRPr="00120F4E" w:rsidRDefault="00C91B1F" w:rsidP="00120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0"/>
          <w:szCs w:val="20"/>
        </w:rPr>
      </w:pPr>
      <w:r>
        <w:rPr>
          <w:rFonts w:ascii="Times New Roman" w:hAnsi="Times New Roman" w:cs="Times New Roman"/>
          <w:color w:val="0000CC"/>
          <w:sz w:val="20"/>
          <w:szCs w:val="20"/>
        </w:rPr>
        <w:t>m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 xml:space="preserve">)  </w:t>
      </w:r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>valutazione finale degli apprendimenti degli alunni delle classi della scuola primaria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>, ai sensi dell’articolo 1 comma 2 bis del decreto-legge 8 aprile 2020, n. 22;</w:t>
      </w:r>
    </w:p>
    <w:p w14:paraId="603D5C6C" w14:textId="77777777" w:rsidR="008056E2" w:rsidRPr="00B51D27" w:rsidRDefault="00C91B1F" w:rsidP="00120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0"/>
          <w:szCs w:val="20"/>
        </w:rPr>
      </w:pPr>
      <w:r>
        <w:rPr>
          <w:rFonts w:ascii="Times New Roman" w:hAnsi="Times New Roman" w:cs="Times New Roman"/>
          <w:color w:val="0000CC"/>
          <w:sz w:val="20"/>
          <w:szCs w:val="20"/>
        </w:rPr>
        <w:t>n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>)  compet</w:t>
      </w:r>
      <w:r>
        <w:rPr>
          <w:rFonts w:ascii="Times New Roman" w:hAnsi="Times New Roman" w:cs="Times New Roman"/>
          <w:color w:val="0000CC"/>
          <w:sz w:val="20"/>
          <w:szCs w:val="20"/>
        </w:rPr>
        <w:t xml:space="preserve">enze digitali degli studenti, uso responsabile di Internet, 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 xml:space="preserve">protezione dei dati </w:t>
      </w:r>
      <w:proofErr w:type="gramStart"/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>per</w:t>
      </w:r>
      <w:r>
        <w:rPr>
          <w:rFonts w:ascii="Times New Roman" w:hAnsi="Times New Roman" w:cs="Times New Roman"/>
          <w:color w:val="0000CC"/>
          <w:sz w:val="20"/>
          <w:szCs w:val="20"/>
        </w:rPr>
        <w:t xml:space="preserve">sonali, 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>contrasto</w:t>
      </w:r>
      <w:proofErr w:type="gramEnd"/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 xml:space="preserve"> al cyberbullismo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>.</w:t>
      </w:r>
    </w:p>
    <w:p w14:paraId="2D0F9166" w14:textId="77777777" w:rsidR="00120F4E" w:rsidRDefault="00120F4E" w:rsidP="00120F4E">
      <w:pPr>
        <w:spacing w:after="0" w:line="240" w:lineRule="auto"/>
        <w:jc w:val="both"/>
        <w:rPr>
          <w:rFonts w:ascii="Times New Roman" w:eastAsia="Century" w:hAnsi="Times New Roman" w:cs="Times New Roman"/>
          <w:b/>
        </w:rPr>
      </w:pPr>
    </w:p>
    <w:p w14:paraId="4949BAB0" w14:textId="77777777" w:rsidR="00C91B1F" w:rsidRDefault="00C91B1F" w:rsidP="00120F4E">
      <w:pPr>
        <w:spacing w:after="0" w:line="240" w:lineRule="auto"/>
        <w:jc w:val="both"/>
        <w:rPr>
          <w:rFonts w:ascii="Times New Roman" w:eastAsia="Century" w:hAnsi="Times New Roman" w:cs="Times New Roman"/>
          <w:b/>
        </w:rPr>
      </w:pPr>
    </w:p>
    <w:p w14:paraId="2C8BDA77" w14:textId="77777777" w:rsidR="00C91B1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C48C99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F6B89B0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B8E163B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54F7A17C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proofErr w:type="gramStart"/>
      <w:r w:rsidRPr="002141DF">
        <w:rPr>
          <w:rFonts w:ascii="Times New Roman" w:eastAsia="Century" w:hAnsi="Times New Roman" w:cs="Times New Roman"/>
        </w:rPr>
        <w:t>neo-assunto</w:t>
      </w:r>
      <w:proofErr w:type="gramEnd"/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3AFAF9E6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4951BCF4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FCAB2A8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7E34C4F3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49748A06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16DFE9D0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27199E0A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1CD0B86E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0FBC9" w14:textId="77777777" w:rsidR="0070589F" w:rsidRDefault="0070589F" w:rsidP="002D7D6C">
      <w:pPr>
        <w:spacing w:after="0" w:line="240" w:lineRule="auto"/>
      </w:pPr>
      <w:r>
        <w:separator/>
      </w:r>
    </w:p>
  </w:endnote>
  <w:endnote w:type="continuationSeparator" w:id="0">
    <w:p w14:paraId="0F8415C3" w14:textId="77777777" w:rsidR="0070589F" w:rsidRDefault="0070589F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6467919"/>
      <w:docPartObj>
        <w:docPartGallery w:val="Page Numbers (Bottom of Page)"/>
        <w:docPartUnique/>
      </w:docPartObj>
    </w:sdtPr>
    <w:sdtEndPr/>
    <w:sdtContent>
      <w:p w14:paraId="5AAB8F04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A06">
          <w:rPr>
            <w:noProof/>
          </w:rPr>
          <w:t>2</w:t>
        </w:r>
        <w:r>
          <w:fldChar w:fldCharType="end"/>
        </w:r>
      </w:p>
    </w:sdtContent>
  </w:sdt>
  <w:p w14:paraId="029A6758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C3B20" w14:textId="77777777" w:rsidR="0070589F" w:rsidRDefault="0070589F" w:rsidP="002D7D6C">
      <w:pPr>
        <w:spacing w:after="0" w:line="240" w:lineRule="auto"/>
      </w:pPr>
      <w:r>
        <w:separator/>
      </w:r>
    </w:p>
  </w:footnote>
  <w:footnote w:type="continuationSeparator" w:id="0">
    <w:p w14:paraId="739FE58F" w14:textId="77777777" w:rsidR="0070589F" w:rsidRDefault="0070589F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99612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2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0"/>
  </w:num>
  <w:num w:numId="5">
    <w:abstractNumId w:val="15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9"/>
  </w:num>
  <w:num w:numId="15">
    <w:abstractNumId w:val="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02D96"/>
    <w:rsid w:val="00010C00"/>
    <w:rsid w:val="000F2D4E"/>
    <w:rsid w:val="00120F4E"/>
    <w:rsid w:val="00135808"/>
    <w:rsid w:val="001624EC"/>
    <w:rsid w:val="0017038E"/>
    <w:rsid w:val="001A1E48"/>
    <w:rsid w:val="001D1F8E"/>
    <w:rsid w:val="001E6D3C"/>
    <w:rsid w:val="002028D4"/>
    <w:rsid w:val="002141DF"/>
    <w:rsid w:val="0022358F"/>
    <w:rsid w:val="002752CE"/>
    <w:rsid w:val="002D7D6C"/>
    <w:rsid w:val="002F0F9E"/>
    <w:rsid w:val="002F4EDD"/>
    <w:rsid w:val="003006E0"/>
    <w:rsid w:val="00381706"/>
    <w:rsid w:val="003B1101"/>
    <w:rsid w:val="004A68D9"/>
    <w:rsid w:val="00586FB5"/>
    <w:rsid w:val="0059623A"/>
    <w:rsid w:val="006776C1"/>
    <w:rsid w:val="0070589F"/>
    <w:rsid w:val="007B624F"/>
    <w:rsid w:val="008056E2"/>
    <w:rsid w:val="008218D0"/>
    <w:rsid w:val="008A7B04"/>
    <w:rsid w:val="008B16AE"/>
    <w:rsid w:val="009521CC"/>
    <w:rsid w:val="00AA0B98"/>
    <w:rsid w:val="00AA489A"/>
    <w:rsid w:val="00B33270"/>
    <w:rsid w:val="00B51D27"/>
    <w:rsid w:val="00C0567A"/>
    <w:rsid w:val="00C91B1F"/>
    <w:rsid w:val="00CE7649"/>
    <w:rsid w:val="00D47D57"/>
    <w:rsid w:val="00D5107E"/>
    <w:rsid w:val="00DA428C"/>
    <w:rsid w:val="00DC17F9"/>
    <w:rsid w:val="00DE1C02"/>
    <w:rsid w:val="00E16A06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3E64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ben alla</cp:lastModifiedBy>
  <cp:revision>3</cp:revision>
  <cp:lastPrinted>2020-02-05T10:35:00Z</cp:lastPrinted>
  <dcterms:created xsi:type="dcterms:W3CDTF">2020-11-19T09:56:00Z</dcterms:created>
  <dcterms:modified xsi:type="dcterms:W3CDTF">2020-11-19T09:59:00Z</dcterms:modified>
</cp:coreProperties>
</file>